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Общее</w:t>
      </w:r>
      <w:r w:rsidRPr="00101408">
        <w:rPr>
          <w:rFonts w:ascii="Times New Roman" w:eastAsia="Times New Roman" w:hAnsi="Times New Roman" w:cs="Times New Roman"/>
        </w:rPr>
        <w:t>:</w:t>
      </w:r>
    </w:p>
    <w:p w14:paraId="0000000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Параметры, выделенные </w:t>
      </w:r>
      <w:r w:rsidRPr="00101408">
        <w:rPr>
          <w:rFonts w:ascii="Times New Roman" w:eastAsia="Times New Roman" w:hAnsi="Times New Roman" w:cs="Times New Roman"/>
          <w:i/>
        </w:rPr>
        <w:t>курсивом</w:t>
      </w:r>
      <w:r w:rsidRPr="00101408">
        <w:rPr>
          <w:rFonts w:ascii="Times New Roman" w:eastAsia="Times New Roman" w:hAnsi="Times New Roman" w:cs="Times New Roman"/>
        </w:rPr>
        <w:t xml:space="preserve"> — менее обязательные для заполнения (скорее для описания языка, где есть доступ к носителю).</w:t>
      </w:r>
    </w:p>
    <w:p w14:paraId="00000003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Если описываемый показатель является полифункциональным, то пункты (если не указано обратное; такие случаи помечены звёздочками (*)) заполняются только применительно к употреблениям, которые можно считать каритивными. Например, если некий гипотетический показатель при приименном использовании означает ‘без Ивана’, но может также использоваться с финитными глаголами, выражая обычное отрицание (‘не пришёл’), то исходя из второго класса употреблений не нужно ставить в «Синтаксических функциях…» «1» для параметра «предикат / часть предиката».</w:t>
      </w:r>
    </w:p>
    <w:p w14:paraId="00000004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столбце «Значение» используются следующие коды:</w:t>
      </w:r>
    </w:p>
    <w:p w14:paraId="00000006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1 — «да»</w:t>
      </w:r>
    </w:p>
    <w:p w14:paraId="00000007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1? — «скорее да» (косвенный вывод или мало данных)</w:t>
      </w:r>
    </w:p>
    <w:p w14:paraId="00000008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0? — «скорее нет» (косвенный вывод или мало данных)</w:t>
      </w:r>
    </w:p>
    <w:p w14:paraId="00000009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0 — «нет»</w:t>
      </w:r>
    </w:p>
    <w:p w14:paraId="0000000A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ND — no data, нет данных ни в пользу «да», ни в пользу «нет»</w:t>
      </w:r>
    </w:p>
    <w:p w14:paraId="0000000B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IRR — irrelevant, этот параметр для данного языка или показателя нерелевантен. Например, параметр 5a (возможность выражения граммем словоклассифицирующих категорий) нерелевантен для языка без словоклассифицирующий категорий имени.</w:t>
      </w:r>
    </w:p>
    <w:p w14:paraId="0000000C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Вся прочая информация записывается в столбец «Комментарий».</w:t>
      </w:r>
    </w:p>
    <w:p w14:paraId="0000000D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0.</w:t>
      </w:r>
      <w:r w:rsidRPr="00101408">
        <w:rPr>
          <w:rFonts w:ascii="Times New Roman" w:eastAsia="Times New Roman" w:hAnsi="Times New Roman" w:cs="Times New Roman"/>
        </w:rPr>
        <w:t xml:space="preserve"> «ПОКАЗАТЕЛЬ» — здесь и далее под «показателем» имеется в виду в широком смысле «каритивный показатель/выражение» — от аффикса до развёрнутой клаузальной синтаксической конструкции. Поэтому в «показателе» может быть несколько компонентов.</w:t>
      </w:r>
    </w:p>
    <w:p w14:paraId="0000000F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1.</w:t>
      </w:r>
      <w:r w:rsidRPr="00101408">
        <w:rPr>
          <w:rFonts w:ascii="Times New Roman" w:eastAsia="Times New Roman" w:hAnsi="Times New Roman" w:cs="Times New Roman"/>
        </w:rPr>
        <w:t> «Уровень реализации каритивного показателя» — имеется в виду уровень (морфо)синтаксической единицы, в рамках которой реализуется показатель.</w:t>
      </w:r>
    </w:p>
    <w:p w14:paraId="00000011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При этом единица должна включать и морфему/словоформу, выражающую абсенса.</w:t>
      </w:r>
    </w:p>
    <w:p w14:paraId="0000001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простом случае нужно поставить «1» в тот пункт, который соответствует синтаксическому уровню реализации всей каритивной группы (абсенс + каритивный показатель).</w:t>
      </w:r>
    </w:p>
    <w:p w14:paraId="00000013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Например, для каритивного адъективирующего деривационного аффикса </w:t>
      </w:r>
      <w:r w:rsidRPr="00101408">
        <w:rPr>
          <w:rFonts w:ascii="Times New Roman" w:eastAsia="Times New Roman" w:hAnsi="Times New Roman" w:cs="Times New Roman"/>
          <w:i/>
        </w:rPr>
        <w:t>-less</w:t>
      </w:r>
      <w:r w:rsidRPr="00101408">
        <w:rPr>
          <w:rFonts w:ascii="Times New Roman" w:eastAsia="Times New Roman" w:hAnsi="Times New Roman" w:cs="Times New Roman"/>
        </w:rPr>
        <w:t xml:space="preserve"> в английском следует поставить «1» только в пункт 1a, а во всех остальных пунктах — «0». Для каритивного падежного аффикса </w:t>
      </w:r>
      <w:r w:rsidRPr="00101408">
        <w:rPr>
          <w:rFonts w:ascii="Times New Roman" w:eastAsia="Times New Roman" w:hAnsi="Times New Roman" w:cs="Times New Roman"/>
          <w:i/>
        </w:rPr>
        <w:t>-ta</w:t>
      </w:r>
      <w:r w:rsidRPr="00101408">
        <w:rPr>
          <w:rFonts w:ascii="Times New Roman" w:eastAsia="Times New Roman" w:hAnsi="Times New Roman" w:cs="Times New Roman"/>
        </w:rPr>
        <w:t xml:space="preserve"> в эстонском следует поставить «1» только в пункт 1b. Для испанского предлога </w:t>
      </w:r>
      <w:r w:rsidRPr="00101408">
        <w:rPr>
          <w:rFonts w:ascii="Times New Roman" w:eastAsia="Times New Roman" w:hAnsi="Times New Roman" w:cs="Times New Roman"/>
          <w:i/>
        </w:rPr>
        <w:t xml:space="preserve">sin </w:t>
      </w:r>
      <w:r w:rsidRPr="00101408">
        <w:rPr>
          <w:rFonts w:ascii="Times New Roman" w:eastAsia="Times New Roman" w:hAnsi="Times New Roman" w:cs="Times New Roman"/>
        </w:rPr>
        <w:t>— тоже только одна «1», но уже в пункте 1c. Для теоретически возможного каритивно-аппликативного показателя (вершинное маркирование каритива) на глаголе — одна «1» в пункте 1d. Для используемой в зависимой клаузе конструкции вида «Он ушёл, [не имея денег]» — одна «1» в пункте 1e.</w:t>
      </w:r>
    </w:p>
    <w:p w14:paraId="00000014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Однако «1» в этих пунктах может стоять более чем в одной строке, если в показателе несколько компонентов.</w:t>
      </w:r>
    </w:p>
    <w:p w14:paraId="0000001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Например, в языке гбан один из способов выражения каритива — сентенциальное отрицание + комитативный послелог при абсенсе. Для такой комбинации нужно поставить «1» в пункте 1c «в пределах составляющей» (для послеложного компонента) и «1» в пункте 1d «в пределах той же клаузы» (для показателя отрицания), и «0» в остальных пунктах. Для русского предлога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следует поставить не только «1» в пункте 1c «в пределах составляющей», но и «1» в пункте 1b «в пределах слова… словоизменительный», поскольку предлог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ещё и управляет генитивом существительного — это предложно-падежная конструкция.</w:t>
      </w:r>
    </w:p>
    <w:p w14:paraId="00000016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Ещё один сложный случай, зафиксированный в энецком: одна из конструкций отрицательной предикативной посессивности предполагает присоединение к основе существительного вербализующего суффикса со значением ‘не иметь X’. И именно такие </w:t>
      </w:r>
      <w:r w:rsidRPr="00101408">
        <w:rPr>
          <w:rFonts w:ascii="Times New Roman" w:eastAsia="Times New Roman" w:hAnsi="Times New Roman" w:cs="Times New Roman"/>
        </w:rPr>
        <w:lastRenderedPageBreak/>
        <w:t>производные непредельные глаголы, с добавлением суффикса причастия (позволяющего использовать клаузу с этим глаголом как атрибут), используются для выражения каритива — досл. «дом-не_иметь-ущий человек» ‘бездомный человек’. Для таких случаев предлагается поставить «1» в пункте 1a (поскольку сам вербализующий суффикс является деривационным), но при этом и «1» в пункте 1e «в пределах дополнительной … клаузы» (поскольку каритивная группа всегда оказывается в этом языке зависимой клаузой).</w:t>
      </w:r>
    </w:p>
    <w:p w14:paraId="00000017" w14:textId="3A0AA992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1a/b.</w:t>
      </w:r>
      <w:r w:rsidRPr="00101408">
        <w:rPr>
          <w:rFonts w:ascii="Times New Roman" w:eastAsia="Times New Roman" w:hAnsi="Times New Roman" w:cs="Times New Roman"/>
        </w:rPr>
        <w:t xml:space="preserve"> Применительно к пункту 1a следует также оговорить, что понимается под термином «деривационный». В данном случае под деривацией понимается не только непродуктивная или среднепродуктивная деривация (традиционное понимание), но и сверхпродуктивная деривация типа каритивной адъективации в </w:t>
      </w:r>
      <w:r w:rsidR="005E5588">
        <w:rPr>
          <w:rFonts w:ascii="Times New Roman" w:eastAsia="Times New Roman" w:hAnsi="Times New Roman" w:cs="Times New Roman"/>
        </w:rPr>
        <w:t>некоторых языках</w:t>
      </w:r>
      <w:bookmarkStart w:id="0" w:name="_GoBack"/>
      <w:bookmarkEnd w:id="0"/>
      <w:r w:rsidRPr="00101408">
        <w:rPr>
          <w:rFonts w:ascii="Times New Roman" w:eastAsia="Times New Roman" w:hAnsi="Times New Roman" w:cs="Times New Roman"/>
        </w:rPr>
        <w:t>. То есть основным критерием «деривационности» оказывается не (не)продуктивность, а «образование отдельного слова», включая изменение «на лету» частеречной принадлежности (поведения) основы (без обязательного появления новой лексемы в лексиконе). Если же показатель сверхпродуктивный и при этом частеречные свойства слова не меняет, его следует отнести к «словоизменительному» (1b). Продуктивность показателя описывается в другом пункте анкеты — пункте </w:t>
      </w:r>
      <w:r w:rsidRPr="00101408">
        <w:rPr>
          <w:rFonts w:ascii="Times New Roman" w:eastAsia="Times New Roman" w:hAnsi="Times New Roman" w:cs="Times New Roman"/>
          <w:b/>
          <w:color w:val="000000"/>
        </w:rPr>
        <w:t>7</w:t>
      </w:r>
      <w:r w:rsidRPr="00101408">
        <w:rPr>
          <w:rFonts w:ascii="Times New Roman" w:eastAsia="Times New Roman" w:hAnsi="Times New Roman" w:cs="Times New Roman"/>
        </w:rPr>
        <w:t>.</w:t>
      </w:r>
    </w:p>
    <w:p w14:paraId="369D89D4" w14:textId="6046E443" w:rsidR="00FE47E5" w:rsidRPr="00101408" w:rsidRDefault="00FE47E5" w:rsidP="00FE47E5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любом случае в столбце «Комментарий» к пункту 1</w:t>
      </w:r>
      <w:r w:rsidRPr="00101408">
        <w:rPr>
          <w:rFonts w:ascii="Times New Roman" w:eastAsia="Times New Roman" w:hAnsi="Times New Roman" w:cs="Times New Roman"/>
          <w:lang w:val="en-US"/>
        </w:rPr>
        <w:t>a</w:t>
      </w:r>
      <w:r w:rsidRPr="00101408">
        <w:rPr>
          <w:rFonts w:ascii="Times New Roman" w:eastAsia="Times New Roman" w:hAnsi="Times New Roman" w:cs="Times New Roman"/>
        </w:rPr>
        <w:t xml:space="preserve"> или 1</w:t>
      </w:r>
      <w:r w:rsidRPr="00101408">
        <w:rPr>
          <w:rFonts w:ascii="Times New Roman" w:eastAsia="Times New Roman" w:hAnsi="Times New Roman" w:cs="Times New Roman"/>
          <w:lang w:val="en-US"/>
        </w:rPr>
        <w:t>b</w:t>
      </w:r>
      <w:r w:rsidRPr="00101408">
        <w:rPr>
          <w:rFonts w:ascii="Times New Roman" w:eastAsia="Times New Roman" w:hAnsi="Times New Roman" w:cs="Times New Roman"/>
        </w:rPr>
        <w:t xml:space="preserve"> необходимо написать, по каким критериям (аффиксальный) показатель был отнесён к «деривационным» или «словоизменительным» (в зависимости от наличия информации, в том числе и просто «автор указывает, что это словообразование»).</w:t>
      </w:r>
    </w:p>
    <w:p w14:paraId="00000018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1d/e.</w:t>
      </w:r>
      <w:r w:rsidRPr="00101408">
        <w:rPr>
          <w:rFonts w:ascii="Times New Roman" w:eastAsia="Times New Roman" w:hAnsi="Times New Roman" w:cs="Times New Roman"/>
        </w:rPr>
        <w:t> Под «той же клаузой» (1d) подразумевается та же самая клауза, в которой выражается модифицируемый участник или ситуация — без ещё одной «вспомогательной» клаузы, как в (1e).</w:t>
      </w:r>
    </w:p>
    <w:p w14:paraId="00000019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1A" w14:textId="2F73B660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2</w:t>
      </w:r>
      <w:r w:rsidRPr="00A44CC1">
        <w:rPr>
          <w:rFonts w:ascii="Times New Roman" w:eastAsia="Times New Roman" w:hAnsi="Times New Roman" w:cs="Times New Roman"/>
          <w:b/>
        </w:rPr>
        <w:t>.</w:t>
      </w:r>
      <w:r w:rsidR="00E10AA6">
        <w:rPr>
          <w:rFonts w:ascii="Times New Roman" w:eastAsia="Times New Roman" w:hAnsi="Times New Roman" w:cs="Times New Roman"/>
          <w:lang w:val="fi-FI"/>
        </w:rPr>
        <w:t> </w:t>
      </w:r>
      <w:r w:rsidRPr="00101408">
        <w:rPr>
          <w:rFonts w:ascii="Times New Roman" w:eastAsia="Times New Roman" w:hAnsi="Times New Roman" w:cs="Times New Roman"/>
        </w:rPr>
        <w:t>Пункты 2a–2d в значительной степени параллельны пунктам 1a–1e, однако описывают каритивный показатель уже с точки зрения его собственного морфосинтаксического статуса (по отношению к морфеме, выражающей абсенс).</w:t>
      </w:r>
    </w:p>
    <w:p w14:paraId="0000001B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«По отношению к морфеме, выражающей абсенс» — имеется в виду, что, к примеру, гипотетический каритивно-аппликативный аффикс на глаголе не будет классифицироваться здесь как аффикс («0» в пункте 2a), а будет классифицироваться лишь как часть клаузальной конструкции («1» в пункте 2c).</w:t>
      </w:r>
    </w:p>
    <w:p w14:paraId="0000001C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Одновременно более детально указываются позиционные свойства аффиксальных и адложных (клитикальных) показателей — являются ли они префиксами, суффиксами, инфиксами, …, предлогами, послелогами, проклитиками, энклитиками. Информация об этом вписывается в столбце «Комментарий» после «1» в столбце «Значение».</w:t>
      </w:r>
    </w:p>
    <w:p w14:paraId="0000001D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данном случае тоже может стоять «1» более чем в одной строке, если в показателе несколько компонентов.</w:t>
      </w:r>
    </w:p>
    <w:p w14:paraId="0000001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Так, для адлогов, управляющих определённым падежом существительного (например, русского предлога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+ </w:t>
      </w:r>
      <w:r w:rsidRPr="00101408">
        <w:rPr>
          <w:rFonts w:ascii="Times New Roman" w:eastAsia="Times New Roman" w:hAnsi="Times New Roman" w:cs="Times New Roman"/>
          <w:smallCaps/>
        </w:rPr>
        <w:t>gen</w:t>
      </w:r>
      <w:r w:rsidRPr="00101408">
        <w:rPr>
          <w:rFonts w:ascii="Times New Roman" w:eastAsia="Times New Roman" w:hAnsi="Times New Roman" w:cs="Times New Roman"/>
        </w:rPr>
        <w:t>), следует поставить не только «1» в пункте 2b «клитика/адлог», но и «1» в пункте 2a «аффикс».</w:t>
      </w:r>
    </w:p>
    <w:p w14:paraId="0000001F" w14:textId="1204FAB2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Также в столбце «Комментарий» к пункту 2a следует указать, аффикс какого именно падежа требуется в данной адложно-падежной конструкции.</w:t>
      </w:r>
    </w:p>
    <w:p w14:paraId="64122EEA" w14:textId="440733C8" w:rsidR="00FE47E5" w:rsidRPr="00101408" w:rsidRDefault="00FE47E5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Также в столбце «Комментарий» к пункту 2</w:t>
      </w:r>
      <w:r w:rsidRPr="00101408">
        <w:rPr>
          <w:rFonts w:ascii="Times New Roman" w:eastAsia="Times New Roman" w:hAnsi="Times New Roman" w:cs="Times New Roman"/>
          <w:lang w:val="en-US"/>
        </w:rPr>
        <w:t>a</w:t>
      </w:r>
      <w:r w:rsidRPr="00101408">
        <w:rPr>
          <w:rFonts w:ascii="Times New Roman" w:eastAsia="Times New Roman" w:hAnsi="Times New Roman" w:cs="Times New Roman"/>
        </w:rPr>
        <w:t xml:space="preserve"> или 2</w:t>
      </w:r>
      <w:r w:rsidRPr="00101408">
        <w:rPr>
          <w:rFonts w:ascii="Times New Roman" w:eastAsia="Times New Roman" w:hAnsi="Times New Roman" w:cs="Times New Roman"/>
          <w:lang w:val="en-US"/>
        </w:rPr>
        <w:t>b</w:t>
      </w:r>
      <w:r w:rsidRPr="00101408">
        <w:rPr>
          <w:rFonts w:ascii="Times New Roman" w:eastAsia="Times New Roman" w:hAnsi="Times New Roman" w:cs="Times New Roman"/>
        </w:rPr>
        <w:t xml:space="preserve"> необходимо написать, по каким критериям показатель был отнесён к «аффиксам» или «клитикам/адлогам» (в зависимости от наличия информации, в том числе и просто «автор указывает, что это аффикс»).</w:t>
      </w:r>
    </w:p>
    <w:p w14:paraId="00000020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2d.</w:t>
      </w:r>
      <w:r w:rsidRPr="00101408">
        <w:rPr>
          <w:rFonts w:ascii="Times New Roman" w:eastAsia="Times New Roman" w:hAnsi="Times New Roman" w:cs="Times New Roman"/>
        </w:rPr>
        <w:t> Пункт «ДРУГОЕ» зарезервирован для экзотических случаев (каритив, выражающийся порядком слов? :) ).</w:t>
      </w:r>
    </w:p>
    <w:p w14:paraId="00000021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01408">
        <w:rPr>
          <w:rFonts w:ascii="Times New Roman" w:eastAsia="Times New Roman" w:hAnsi="Times New Roman" w:cs="Times New Roman"/>
          <w:b/>
        </w:rPr>
        <w:t>3/4. </w:t>
      </w:r>
      <w:r w:rsidRPr="00101408">
        <w:rPr>
          <w:rFonts w:ascii="Times New Roman" w:eastAsia="Times New Roman" w:hAnsi="Times New Roman" w:cs="Times New Roman"/>
        </w:rPr>
        <w:t xml:space="preserve">Пункт 3 применим скорее только к аффиксальным каритивным показателям. Здесь указывается, возможно ли присоединение «поверх» каритивного показателя дополнительных грамматических показателей, которые выражают смыслы, «внешние» по отношению ко всей каритивной «группе» — например, согласование по роду/числу/падежу </w:t>
      </w:r>
      <w:r w:rsidRPr="00101408">
        <w:rPr>
          <w:rFonts w:ascii="Times New Roman" w:eastAsia="Times New Roman" w:hAnsi="Times New Roman" w:cs="Times New Roman"/>
        </w:rPr>
        <w:lastRenderedPageBreak/>
        <w:t xml:space="preserve">и т.д. с именной вершиной (при атрибутивном употреблении каритивной группы — ср. финск. </w:t>
      </w:r>
      <w:r w:rsidRPr="00101408">
        <w:rPr>
          <w:rFonts w:ascii="Times New Roman" w:eastAsia="Times New Roman" w:hAnsi="Times New Roman" w:cs="Times New Roman"/>
          <w:i/>
        </w:rPr>
        <w:t>suola-ttoma-</w:t>
      </w:r>
      <w:r w:rsidRPr="00101408">
        <w:rPr>
          <w:rFonts w:ascii="Times New Roman" w:eastAsia="Times New Roman" w:hAnsi="Times New Roman" w:cs="Times New Roman"/>
          <w:b/>
          <w:i/>
        </w:rPr>
        <w:t>t</w:t>
      </w:r>
      <w:r w:rsidRPr="00101408">
        <w:rPr>
          <w:rFonts w:ascii="Times New Roman" w:eastAsia="Times New Roman" w:hAnsi="Times New Roman" w:cs="Times New Roman"/>
          <w:i/>
        </w:rPr>
        <w:t>…</w:t>
      </w:r>
      <w:r w:rsidRPr="00101408">
        <w:rPr>
          <w:rFonts w:ascii="Times New Roman" w:eastAsia="Times New Roman" w:hAnsi="Times New Roman" w:cs="Times New Roman"/>
        </w:rPr>
        <w:t xml:space="preserve"> &lt;соль-</w:t>
      </w:r>
      <w:r w:rsidRPr="00101408">
        <w:rPr>
          <w:rFonts w:ascii="Times New Roman" w:eastAsia="Times New Roman" w:hAnsi="Times New Roman" w:cs="Times New Roman"/>
          <w:smallCaps/>
        </w:rPr>
        <w:t>car.adj-</w:t>
      </w:r>
      <w:r w:rsidRPr="00101408">
        <w:rPr>
          <w:rFonts w:ascii="Times New Roman" w:eastAsia="Times New Roman" w:hAnsi="Times New Roman" w:cs="Times New Roman"/>
          <w:b/>
          <w:smallCaps/>
        </w:rPr>
        <w:t>pl</w:t>
      </w:r>
      <w:r w:rsidRPr="00101408">
        <w:rPr>
          <w:rFonts w:ascii="Times New Roman" w:eastAsia="Times New Roman" w:hAnsi="Times New Roman" w:cs="Times New Roman"/>
        </w:rPr>
        <w:t>&gt; ‘несолёные</w:t>
      </w:r>
      <w:r w:rsidRPr="00101408">
        <w:rPr>
          <w:rFonts w:ascii="Times New Roman" w:eastAsia="Times New Roman" w:hAnsi="Times New Roman" w:cs="Times New Roman"/>
          <w:i/>
        </w:rPr>
        <w:t xml:space="preserve"> </w:t>
      </w:r>
      <w:r w:rsidRPr="00101408">
        <w:rPr>
          <w:rFonts w:ascii="Times New Roman" w:eastAsia="Times New Roman" w:hAnsi="Times New Roman" w:cs="Times New Roman"/>
        </w:rPr>
        <w:t xml:space="preserve">X-ы’) — или род/число/падеж невыраженной вершины при безвершинном употреблении (ср. 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чувашск. </w:t>
      </w:r>
      <w:r w:rsidRPr="00101408">
        <w:rPr>
          <w:rFonts w:ascii="Times New Roman" w:eastAsia="Times New Roman" w:hAnsi="Times New Roman" w:cs="Times New Roman"/>
          <w:i/>
          <w:color w:val="000000"/>
        </w:rPr>
        <w:t>sumkə-zər-</w:t>
      </w:r>
      <w:r w:rsidRPr="00101408">
        <w:rPr>
          <w:rFonts w:ascii="Times New Roman" w:eastAsia="Times New Roman" w:hAnsi="Times New Roman" w:cs="Times New Roman"/>
          <w:b/>
          <w:i/>
          <w:color w:val="000000"/>
        </w:rPr>
        <w:t>i</w:t>
      </w:r>
      <w:r w:rsidRPr="00101408">
        <w:rPr>
          <w:rFonts w:ascii="Times New Roman" w:eastAsia="Times New Roman" w:hAnsi="Times New Roman" w:cs="Times New Roman"/>
          <w:i/>
          <w:color w:val="000000"/>
        </w:rPr>
        <w:t>-</w:t>
      </w:r>
      <w:r w:rsidRPr="00101408">
        <w:rPr>
          <w:rFonts w:ascii="Times New Roman" w:eastAsia="Times New Roman" w:hAnsi="Times New Roman" w:cs="Times New Roman"/>
          <w:b/>
          <w:i/>
          <w:color w:val="000000"/>
        </w:rPr>
        <w:t>zam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&lt;сумка-</w:t>
      </w:r>
      <w:r w:rsidRPr="00101408">
        <w:rPr>
          <w:rFonts w:ascii="Times New Roman" w:eastAsia="Times New Roman" w:hAnsi="Times New Roman" w:cs="Times New Roman"/>
          <w:smallCaps/>
          <w:color w:val="000000"/>
        </w:rPr>
        <w:t>car</w:t>
      </w:r>
      <w:r w:rsidRPr="00101408">
        <w:rPr>
          <w:rFonts w:ascii="Times New Roman" w:eastAsia="Times New Roman" w:hAnsi="Times New Roman" w:cs="Times New Roman"/>
          <w:color w:val="000000"/>
        </w:rPr>
        <w:t>-</w:t>
      </w:r>
      <w:r w:rsidRPr="00101408">
        <w:rPr>
          <w:rFonts w:ascii="Times New Roman" w:eastAsia="Times New Roman" w:hAnsi="Times New Roman" w:cs="Times New Roman"/>
          <w:b/>
          <w:smallCaps/>
          <w:color w:val="000000"/>
        </w:rPr>
        <w:t>p_3-pl</w:t>
      </w:r>
      <w:r w:rsidRPr="00101408">
        <w:rPr>
          <w:rFonts w:ascii="Times New Roman" w:eastAsia="Times New Roman" w:hAnsi="Times New Roman" w:cs="Times New Roman"/>
          <w:color w:val="000000"/>
        </w:rPr>
        <w:t>&gt; ‘[люд</w:t>
      </w:r>
      <w:r w:rsidRPr="00101408">
        <w:rPr>
          <w:rFonts w:ascii="Times New Roman" w:eastAsia="Times New Roman" w:hAnsi="Times New Roman" w:cs="Times New Roman"/>
          <w:b/>
          <w:color w:val="000000"/>
        </w:rPr>
        <w:t>и</w:t>
      </w:r>
      <w:r w:rsidRPr="00101408">
        <w:rPr>
          <w:rFonts w:ascii="Times New Roman" w:eastAsia="Times New Roman" w:hAnsi="Times New Roman" w:cs="Times New Roman"/>
          <w:color w:val="000000"/>
        </w:rPr>
        <w:t>] без сумок’, где к каритивной группе сначала дополнительно присоединяется показатель определённости, а затем множественного числа, относящиеся к нулевой вершине).</w:t>
      </w:r>
    </w:p>
    <w:p w14:paraId="00000023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01408">
        <w:rPr>
          <w:rFonts w:ascii="Times New Roman" w:eastAsia="Times New Roman" w:hAnsi="Times New Roman" w:cs="Times New Roman"/>
          <w:color w:val="000000"/>
        </w:rPr>
        <w:t>Пункт 4 применим, напротив, скорее только к адложным каритивным показателям. Здесь указывается, присоединяет ли сам каритивный показатель какие-то грамматические показатели (</w:t>
      </w:r>
      <w:r w:rsidRPr="00101408">
        <w:rPr>
          <w:rFonts w:ascii="Times New Roman" w:eastAsia="Times New Roman" w:hAnsi="Times New Roman" w:cs="Times New Roman"/>
        </w:rPr>
        <w:t>аффиксальные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), указывающие сейчас или указывавшие исторически на его (но не абсенса) собственные синтаксические связи — с абсенсом (ср. посессивные показатели на адлогах, выражающие лицо-число своего зависимого) или, наоборот, с «внешним» синтаксисом (ср. (полу)застывшие падежные показатели в некоторых адлогах, ср. каритивное служебное слово в джуенском нанайском, которое присоединяет посессивный показатель, выражающий лицо-число ориентира: </w:t>
      </w:r>
      <w:r w:rsidRPr="00101408">
        <w:rPr>
          <w:rFonts w:ascii="Times New Roman" w:eastAsia="Times New Roman" w:hAnsi="Times New Roman" w:cs="Times New Roman"/>
          <w:i/>
          <w:color w:val="000000"/>
        </w:rPr>
        <w:t>mi ənə-həm-bi nasapto ana-</w:t>
      </w:r>
      <w:r w:rsidRPr="00101408">
        <w:rPr>
          <w:rFonts w:ascii="Times New Roman" w:eastAsia="Times New Roman" w:hAnsi="Times New Roman" w:cs="Times New Roman"/>
          <w:b/>
          <w:i/>
          <w:color w:val="000000"/>
        </w:rPr>
        <w:t>i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&lt;…очки без-</w:t>
      </w:r>
      <w:r w:rsidRPr="00101408">
        <w:rPr>
          <w:rFonts w:ascii="Times New Roman" w:eastAsia="Times New Roman" w:hAnsi="Times New Roman" w:cs="Times New Roman"/>
          <w:b/>
          <w:smallCaps/>
          <w:color w:val="000000"/>
        </w:rPr>
        <w:t>1sg</w:t>
      </w:r>
      <w:r w:rsidRPr="00101408">
        <w:rPr>
          <w:rFonts w:ascii="Times New Roman" w:eastAsia="Times New Roman" w:hAnsi="Times New Roman" w:cs="Times New Roman"/>
          <w:color w:val="000000"/>
        </w:rPr>
        <w:t>&gt; ‘Я ушёл без очков’).</w:t>
      </w:r>
    </w:p>
    <w:p w14:paraId="00000024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01408">
        <w:rPr>
          <w:rFonts w:ascii="Times New Roman" w:eastAsia="Times New Roman" w:hAnsi="Times New Roman" w:cs="Times New Roman"/>
          <w:b/>
        </w:rPr>
        <w:t>5a/5b.</w:t>
      </w:r>
      <w:r w:rsidRPr="00101408">
        <w:rPr>
          <w:rFonts w:ascii="Times New Roman" w:eastAsia="Times New Roman" w:hAnsi="Times New Roman" w:cs="Times New Roman"/>
        </w:rPr>
        <w:t> В этих пунктах указывается, в отличие от пункта 3, какие грамматические показатели могут присоединяться «под» каритивным показателем, к самому абсенсу.</w:t>
      </w:r>
    </w:p>
    <w:p w14:paraId="00000026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7" w14:textId="2ECCC749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  <w:color w:val="000000"/>
        </w:rPr>
        <w:t>6.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 Пункты 6a–6e (без звёздочек), как и абсолютное большинство пунктов анкеты, </w:t>
      </w:r>
      <w:r w:rsidRPr="00101408">
        <w:rPr>
          <w:rFonts w:ascii="Times New Roman" w:eastAsia="Times New Roman" w:hAnsi="Times New Roman" w:cs="Times New Roman"/>
        </w:rPr>
        <w:t xml:space="preserve">заполняются только применительно к употреблениям, которые можно считать каритивными. </w:t>
      </w:r>
      <w:r w:rsidRPr="00101408">
        <w:rPr>
          <w:rFonts w:ascii="Times New Roman" w:eastAsia="Times New Roman" w:hAnsi="Times New Roman" w:cs="Times New Roman"/>
          <w:color w:val="000000"/>
        </w:rPr>
        <w:t>Однако пункты 6f–6h (со звёздочками) заполняются, наобор</w:t>
      </w:r>
      <w:r w:rsidR="007C4979" w:rsidRPr="00101408">
        <w:rPr>
          <w:rFonts w:ascii="Times New Roman" w:eastAsia="Times New Roman" w:hAnsi="Times New Roman" w:cs="Times New Roman"/>
          <w:color w:val="000000"/>
        </w:rPr>
        <w:t>о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т, применительно </w:t>
      </w:r>
      <w:r w:rsidR="007C4979" w:rsidRPr="00101408">
        <w:rPr>
          <w:rFonts w:ascii="Times New Roman" w:eastAsia="Times New Roman" w:hAnsi="Times New Roman" w:cs="Times New Roman"/>
          <w:color w:val="000000"/>
        </w:rPr>
        <w:t xml:space="preserve">к </w:t>
      </w:r>
      <w:r w:rsidRPr="00101408">
        <w:rPr>
          <w:rFonts w:ascii="Times New Roman" w:eastAsia="Times New Roman" w:hAnsi="Times New Roman" w:cs="Times New Roman"/>
          <w:color w:val="000000"/>
        </w:rPr>
        <w:t>употреблениям того же показателя</w:t>
      </w:r>
      <w:r w:rsidRPr="00101408">
        <w:rPr>
          <w:rFonts w:ascii="Times New Roman" w:eastAsia="Times New Roman" w:hAnsi="Times New Roman" w:cs="Times New Roman"/>
        </w:rPr>
        <w:t xml:space="preserve"> не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в</w:t>
      </w:r>
      <w:r w:rsidRPr="00101408">
        <w:rPr>
          <w:rFonts w:ascii="Times New Roman" w:eastAsia="Times New Roman" w:hAnsi="Times New Roman" w:cs="Times New Roman"/>
        </w:rPr>
        <w:t xml:space="preserve"> собственно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каритивном значении. Т.е. </w:t>
      </w:r>
      <w:r w:rsidRPr="00101408">
        <w:rPr>
          <w:rFonts w:ascii="Times New Roman" w:eastAsia="Times New Roman" w:hAnsi="Times New Roman" w:cs="Times New Roman"/>
        </w:rPr>
        <w:t xml:space="preserve">в пунктах 6f–6h мы как раз </w:t>
      </w:r>
      <w:r w:rsidRPr="00101408">
        <w:rPr>
          <w:rFonts w:ascii="Times New Roman" w:eastAsia="Times New Roman" w:hAnsi="Times New Roman" w:cs="Times New Roman"/>
          <w:b/>
        </w:rPr>
        <w:t>не</w:t>
      </w:r>
      <w:r w:rsidRPr="00101408">
        <w:rPr>
          <w:rFonts w:ascii="Times New Roman" w:eastAsia="Times New Roman" w:hAnsi="Times New Roman" w:cs="Times New Roman"/>
        </w:rPr>
        <w:t xml:space="preserve"> берём семантически именные (субстантивированные) употребления (например, в 6h не берём </w:t>
      </w:r>
      <w:r w:rsidRPr="00101408">
        <w:rPr>
          <w:rFonts w:ascii="Times New Roman" w:eastAsia="Times New Roman" w:hAnsi="Times New Roman" w:cs="Times New Roman"/>
          <w:i/>
        </w:rPr>
        <w:t>Иван пришёл без младшего</w:t>
      </w:r>
      <w:r w:rsidRPr="00101408">
        <w:rPr>
          <w:rFonts w:ascii="Times New Roman" w:eastAsia="Times New Roman" w:hAnsi="Times New Roman" w:cs="Times New Roman"/>
        </w:rPr>
        <w:t xml:space="preserve"> [имея в виду ‘без младшего сына’], но берём, например, «привативное» отрицание прилагательного типа ‘</w:t>
      </w:r>
      <w:r w:rsidRPr="00101408">
        <w:rPr>
          <w:rFonts w:ascii="Times New Roman" w:eastAsia="Times New Roman" w:hAnsi="Times New Roman" w:cs="Times New Roman"/>
          <w:u w:val="single"/>
        </w:rPr>
        <w:t>не</w:t>
      </w:r>
      <w:r w:rsidRPr="00101408">
        <w:rPr>
          <w:rFonts w:ascii="Times New Roman" w:eastAsia="Times New Roman" w:hAnsi="Times New Roman" w:cs="Times New Roman"/>
        </w:rPr>
        <w:t>умный’).</w:t>
      </w:r>
    </w:p>
    <w:p w14:paraId="00000028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7.</w:t>
      </w:r>
      <w:r w:rsidRPr="00101408">
        <w:rPr>
          <w:rFonts w:ascii="Times New Roman" w:eastAsia="Times New Roman" w:hAnsi="Times New Roman" w:cs="Times New Roman"/>
        </w:rPr>
        <w:t xml:space="preserve"> Под продуктивностью в данном случае понимается абсолютная продуктивность. Её можно определить как отсутствие случайно распределённых случаев несочетаемости, которые нельзя хорошо описать некоторым правилом (например, в терминах частеречного класса, в терминах формальных классов).</w:t>
      </w:r>
    </w:p>
    <w:p w14:paraId="0000002A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Только если показатель абсолютно продуктивен, следует поставить «1», при отклонениях от абсолютной продуктивности — «0».</w:t>
      </w:r>
    </w:p>
    <w:p w14:paraId="0000002B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101408">
        <w:rPr>
          <w:rFonts w:ascii="Times New Roman" w:eastAsia="Times New Roman" w:hAnsi="Times New Roman" w:cs="Times New Roman"/>
          <w:b/>
        </w:rPr>
        <w:t>8a/8c.</w:t>
      </w:r>
      <w:r w:rsidRPr="00101408">
        <w:rPr>
          <w:rFonts w:ascii="Times New Roman" w:eastAsia="Times New Roman" w:hAnsi="Times New Roman" w:cs="Times New Roman"/>
        </w:rPr>
        <w:t xml:space="preserve"> Отличие депиктивных употреблений от обстоятельственных в том, что в случае депиктивных есть (и является основной) характеризация каритивной группой некоторого участника, а в случае обстоятельственных — характеризации участника нет (или она второстепенна), а имеет место характеризация самой основной ситуации. Ср. депиктивное </w:t>
      </w:r>
      <w:r w:rsidRPr="00101408">
        <w:rPr>
          <w:rFonts w:ascii="Times New Roman" w:eastAsia="Times New Roman" w:hAnsi="Times New Roman" w:cs="Times New Roman"/>
          <w:i/>
        </w:rPr>
        <w:t>Иван пришёл без ножа</w:t>
      </w:r>
      <w:sdt>
        <w:sdtPr>
          <w:rPr>
            <w:rFonts w:ascii="Times New Roman" w:hAnsi="Times New Roman" w:cs="Times New Roman"/>
          </w:rPr>
          <w:tag w:val="goog_rdk_0"/>
          <w:id w:val="-1190531074"/>
        </w:sdtPr>
        <w:sdtEndPr/>
        <w:sdtContent>
          <w:r w:rsidRPr="00101408">
            <w:rPr>
              <w:rFonts w:ascii="Times New Roman" w:eastAsia="Gungsuh" w:hAnsi="Times New Roman" w:cs="Times New Roman"/>
            </w:rPr>
            <w:t xml:space="preserve"> (≈ ‘Иван пришёл, Иван был без ножа / у Ивана не было [при себе] ножа’), vs. обстоятельственное </w:t>
          </w:r>
        </w:sdtContent>
      </w:sdt>
      <w:r w:rsidRPr="00101408">
        <w:rPr>
          <w:rFonts w:ascii="Times New Roman" w:eastAsia="Times New Roman" w:hAnsi="Times New Roman" w:cs="Times New Roman"/>
          <w:i/>
        </w:rPr>
        <w:t>Иван открыл банку без ножа</w:t>
      </w:r>
      <w:sdt>
        <w:sdtPr>
          <w:rPr>
            <w:rFonts w:ascii="Times New Roman" w:hAnsi="Times New Roman" w:cs="Times New Roman"/>
          </w:rPr>
          <w:tag w:val="goog_rdk_1"/>
          <w:id w:val="1552043488"/>
        </w:sdtPr>
        <w:sdtEndPr/>
        <w:sdtContent>
          <w:r w:rsidRPr="00101408">
            <w:rPr>
              <w:rFonts w:ascii="Times New Roman" w:eastAsia="Gungsuh" w:hAnsi="Times New Roman" w:cs="Times New Roman"/>
            </w:rPr>
            <w:t xml:space="preserve"> (≈ ‘Иван открыл банку, не используя [в этой ситуации] нож’).</w:t>
          </w:r>
        </w:sdtContent>
      </w:sdt>
    </w:p>
    <w:p w14:paraId="0000002D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9.</w:t>
      </w:r>
      <w:r w:rsidRPr="00101408">
        <w:rPr>
          <w:rFonts w:ascii="Times New Roman" w:eastAsia="Times New Roman" w:hAnsi="Times New Roman" w:cs="Times New Roman"/>
        </w:rPr>
        <w:t xml:space="preserve"> Безвершинные употребления — производны от атрибутивных, но с невыраженной именной вершиной (хотя в семантике она восстанавливается). Ср. </w:t>
      </w:r>
      <w:r w:rsidRPr="00101408">
        <w:rPr>
          <w:rFonts w:ascii="Times New Roman" w:eastAsia="Times New Roman" w:hAnsi="Times New Roman" w:cs="Times New Roman"/>
          <w:i/>
        </w:rPr>
        <w:t xml:space="preserve">Иван купил две рубашки, </w:t>
      </w:r>
      <w:r w:rsidRPr="00101408">
        <w:rPr>
          <w:rFonts w:ascii="Times New Roman" w:eastAsia="Times New Roman" w:hAnsi="Times New Roman" w:cs="Times New Roman"/>
          <w:b/>
          <w:i/>
        </w:rPr>
        <w:t>синюю</w:t>
      </w:r>
      <w:r w:rsidRPr="00101408">
        <w:rPr>
          <w:rFonts w:ascii="Times New Roman" w:eastAsia="Times New Roman" w:hAnsi="Times New Roman" w:cs="Times New Roman"/>
          <w:i/>
        </w:rPr>
        <w:t xml:space="preserve"> оставил себе, а </w:t>
      </w:r>
      <w:r w:rsidRPr="00101408">
        <w:rPr>
          <w:rFonts w:ascii="Times New Roman" w:eastAsia="Times New Roman" w:hAnsi="Times New Roman" w:cs="Times New Roman"/>
          <w:b/>
          <w:i/>
        </w:rPr>
        <w:t>зелёную</w:t>
      </w:r>
      <w:r w:rsidRPr="00101408">
        <w:rPr>
          <w:rFonts w:ascii="Times New Roman" w:eastAsia="Times New Roman" w:hAnsi="Times New Roman" w:cs="Times New Roman"/>
          <w:i/>
        </w:rPr>
        <w:t xml:space="preserve"> подарил брату</w:t>
      </w:r>
      <w:r w:rsidRPr="00101408">
        <w:rPr>
          <w:rFonts w:ascii="Times New Roman" w:eastAsia="Times New Roman" w:hAnsi="Times New Roman" w:cs="Times New Roman"/>
        </w:rPr>
        <w:t>.</w:t>
      </w:r>
    </w:p>
    <w:p w14:paraId="0000002F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30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10/11.</w:t>
      </w:r>
      <w:r w:rsidRPr="00101408">
        <w:rPr>
          <w:rFonts w:ascii="Times New Roman" w:eastAsia="Times New Roman" w:hAnsi="Times New Roman" w:cs="Times New Roman"/>
        </w:rPr>
        <w:t> Под «специализированностью» понимается выражение каритивной семантики как единственная или по крайней мере основная функция показателя.</w:t>
      </w:r>
    </w:p>
    <w:p w14:paraId="00000031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Самый простой случай — падежные/деривационные аффиксы и адлоги, которые как правило имеют только каритивную (± «околокаритивную») семантику — ср. русское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и т.д.</w:t>
      </w:r>
    </w:p>
    <w:p w14:paraId="0000003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lastRenderedPageBreak/>
        <w:t>Для более сложных случаев: если конструкция монофункциональна, она специализирована. Полифункциональные конструкции можно считать специализированными в том случае, если употребление конструкции в центральных каритивных контекстах по крайней мере преобладает по частотности над другими её употреблениями. Если даже косвенной информации о преобладании каритивных употреблений над прочими нет, считаем такую полифункциональную конструкцию по умолчанию неспециализированной.</w:t>
      </w:r>
    </w:p>
    <w:p w14:paraId="00000033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Пункты 10 и 11 работают в связке следующим образом.</w:t>
      </w:r>
    </w:p>
    <w:p w14:paraId="00000034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К примеру, конструкция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+ </w:t>
      </w:r>
      <w:r w:rsidRPr="00101408">
        <w:rPr>
          <w:rFonts w:ascii="Times New Roman" w:eastAsia="Times New Roman" w:hAnsi="Times New Roman" w:cs="Times New Roman"/>
          <w:smallCaps/>
        </w:rPr>
        <w:t>gen</w:t>
      </w:r>
      <w:r w:rsidRPr="00101408">
        <w:rPr>
          <w:rFonts w:ascii="Times New Roman" w:eastAsia="Times New Roman" w:hAnsi="Times New Roman" w:cs="Times New Roman"/>
        </w:rPr>
        <w:t xml:space="preserve"> получит «1» в обоих пунктах (конструкция в целом специализирована и содержит специализированный предлог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[и неспециализированный падежный аффикс генитива]). Аналогично испанский предлог </w:t>
      </w:r>
      <w:r w:rsidRPr="00101408">
        <w:rPr>
          <w:rFonts w:ascii="Times New Roman" w:eastAsia="Times New Roman" w:hAnsi="Times New Roman" w:cs="Times New Roman"/>
          <w:i/>
        </w:rPr>
        <w:t>sin</w:t>
      </w:r>
      <w:r w:rsidRPr="00101408">
        <w:rPr>
          <w:rFonts w:ascii="Times New Roman" w:eastAsia="Times New Roman" w:hAnsi="Times New Roman" w:cs="Times New Roman"/>
        </w:rPr>
        <w:t>.</w:t>
      </w:r>
    </w:p>
    <w:p w14:paraId="0000003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Клаузальная конструкция вида «Он ушёл, [</w:t>
      </w:r>
      <w:r w:rsidRPr="00101408">
        <w:rPr>
          <w:rFonts w:ascii="Times New Roman" w:eastAsia="Times New Roman" w:hAnsi="Times New Roman" w:cs="Times New Roman"/>
          <w:b/>
        </w:rPr>
        <w:t>не имея</w:t>
      </w:r>
      <w:r w:rsidRPr="00101408">
        <w:rPr>
          <w:rFonts w:ascii="Times New Roman" w:eastAsia="Times New Roman" w:hAnsi="Times New Roman" w:cs="Times New Roman"/>
        </w:rPr>
        <w:t xml:space="preserve"> денег]» — «0» в обоих пунктах — как сама конструкция, так и её компоненты не являются специализированными.</w:t>
      </w:r>
    </w:p>
    <w:p w14:paraId="00000036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Разные значения — «1» в пункте 10, но «0» в пункте 11 — может получить каритивная конструкция, которая состоит только из неспециализированных компонентов, но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в целом специализирована (то есть именно такое сочетание этих компонентов всегда или преимущественно используется для выражения каритивной семантики)</w:t>
      </w:r>
      <w:r w:rsidRPr="00101408">
        <w:rPr>
          <w:rFonts w:ascii="Times New Roman" w:eastAsia="Times New Roman" w:hAnsi="Times New Roman" w:cs="Times New Roman"/>
        </w:rPr>
        <w:t xml:space="preserve">. Возможно, подобным случаем является английское </w:t>
      </w:r>
      <w:r w:rsidRPr="00101408">
        <w:rPr>
          <w:rFonts w:ascii="Times New Roman" w:eastAsia="Times New Roman" w:hAnsi="Times New Roman" w:cs="Times New Roman"/>
          <w:i/>
        </w:rPr>
        <w:t>with no</w:t>
      </w:r>
      <w:r w:rsidRPr="00101408">
        <w:rPr>
          <w:rFonts w:ascii="Times New Roman" w:eastAsia="Times New Roman" w:hAnsi="Times New Roman" w:cs="Times New Roman"/>
        </w:rPr>
        <w:t>, состоящее из комитативного предлога и присловного (кванторного) отрицательного показателя, но в целом, как кажется, всегда выражающее именно каритивную семантику.</w:t>
      </w:r>
    </w:p>
    <w:p w14:paraId="00000037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NB! «1» в пункте 10 ставится только в случае, если конструкция действительно специализирована (выражает только или в основном каритивную семантику) — и в этом случае она получает все «0» в пунктах 12a–12e, а её состав описывается в пунктах 14–16. Так, если английское </w:t>
      </w:r>
      <w:r w:rsidRPr="00101408">
        <w:rPr>
          <w:rFonts w:ascii="Times New Roman" w:eastAsia="Times New Roman" w:hAnsi="Times New Roman" w:cs="Times New Roman"/>
          <w:i/>
        </w:rPr>
        <w:t>with no</w:t>
      </w:r>
      <w:r w:rsidRPr="00101408">
        <w:rPr>
          <w:rFonts w:ascii="Times New Roman" w:eastAsia="Times New Roman" w:hAnsi="Times New Roman" w:cs="Times New Roman"/>
        </w:rPr>
        <w:t xml:space="preserve"> действительно является специализированно-каритивным, оно уже </w:t>
      </w:r>
      <w:r w:rsidRPr="00101408">
        <w:rPr>
          <w:rFonts w:ascii="Times New Roman" w:eastAsia="Times New Roman" w:hAnsi="Times New Roman" w:cs="Times New Roman"/>
          <w:b/>
        </w:rPr>
        <w:t>не</w:t>
      </w:r>
      <w:r w:rsidRPr="00101408">
        <w:rPr>
          <w:rFonts w:ascii="Times New Roman" w:eastAsia="Times New Roman" w:hAnsi="Times New Roman" w:cs="Times New Roman"/>
        </w:rPr>
        <w:t xml:space="preserve"> получает «1» в пункте 12a, хотя и состоит из комитативного показателя и показателя отрицания — эти сведения указываются в 14 и 15. Напротив, если некоторая другая конструкция представляет собой комбинацию комитатива и отрицания, но при этом может интерпретироваться и не-каритивно (‘пришёл не с Машей [а с кем-то другим]’, ‘не пришёл с Машей [= совсем не пришёл]’), то такая конструкция получит «0» в пункте 10, но «1» в пункте 12a (возможно, такая ситуация наблюдается в гбан).</w:t>
      </w:r>
    </w:p>
    <w:p w14:paraId="00000038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Комбинация с «0» в пункте 10 при «1» в пункте 11, по-видимому, логически невозможна. Т.о., если в пункте 11 стоит «1», то и в пункте 10 тоже ставится «1».</w:t>
      </w:r>
    </w:p>
    <w:p w14:paraId="00000039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3A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12.</w:t>
      </w:r>
      <w:r w:rsidRPr="00101408">
        <w:rPr>
          <w:rFonts w:ascii="Times New Roman" w:eastAsia="Times New Roman" w:hAnsi="Times New Roman" w:cs="Times New Roman"/>
        </w:rPr>
        <w:t> Под «тождествен» подразумевается именно синхронное тождество с единицей, выполняющей ту или иную другую функцию (т.е. это одна языковая единица, которая иногда выражает каритивную семантику, а иногда — глагольное отрицание, отрицание посессивности и т.д.).</w:t>
      </w:r>
    </w:p>
    <w:p w14:paraId="0000003B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данных пунктах речь идёт о полностью неспециализированных конструкциях («0» в пункте 10).</w:t>
      </w:r>
    </w:p>
    <w:p w14:paraId="0000003C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3D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13.</w:t>
      </w:r>
      <w:r w:rsidRPr="00101408">
        <w:rPr>
          <w:rFonts w:ascii="Times New Roman" w:eastAsia="Times New Roman" w:hAnsi="Times New Roman" w:cs="Times New Roman"/>
        </w:rPr>
        <w:t> В случае, если имеется утверждение (или хотя бы предположение), что показатель является заимствованием, следует ставить «1» (или «1?»). В столбце «Комментарий» при этом следует вписать источник заимствования (язык и единицу).</w:t>
      </w:r>
    </w:p>
    <w:p w14:paraId="0000003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Следует ставить «0» только для тех случаев, где точно знаем, что средство не заимствованное (в обозримом прошлом), в остальных случаях ставится «ND».</w:t>
      </w:r>
    </w:p>
    <w:p w14:paraId="0000003F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40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14/15/16.</w:t>
      </w:r>
      <w:r w:rsidRPr="00101408">
        <w:rPr>
          <w:rFonts w:ascii="Times New Roman" w:eastAsia="Times New Roman" w:hAnsi="Times New Roman" w:cs="Times New Roman"/>
        </w:rPr>
        <w:t> Пункты 14–16 касаются только тех случаев, когда конструкция в целом является специализированной («1» в пункте 10) — но содержит отдельные (нетривиальные) компоненты, для которых синхронно или исторически можно найти отличный от каритива источник.</w:t>
      </w:r>
    </w:p>
    <w:p w14:paraId="00000041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4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lastRenderedPageBreak/>
        <w:t>19.</w:t>
      </w:r>
      <w:r w:rsidRPr="00101408">
        <w:rPr>
          <w:rFonts w:ascii="Times New Roman" w:eastAsia="Times New Roman" w:hAnsi="Times New Roman" w:cs="Times New Roman"/>
        </w:rPr>
        <w:t xml:space="preserve"> NB! в пунктах 19 описываются различные функции показателя — как каритивные, так и смежные с ними или некаритивные (например, если тот же показатель используется также как показатель отрицания при глаголе, это нужно указать в пункте «ДРУГОЕ»).</w:t>
      </w:r>
    </w:p>
    <w:p w14:paraId="00000043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44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19n.</w:t>
      </w:r>
      <w:r w:rsidRPr="00101408">
        <w:rPr>
          <w:rFonts w:ascii="Times New Roman" w:eastAsia="Times New Roman" w:hAnsi="Times New Roman" w:cs="Times New Roman"/>
        </w:rPr>
        <w:t xml:space="preserve"> «Причину» и «условие» нельзя считать в данном случае самостоятельным значением/ролью, поскольку она всегда накладывается на другие значения/роли в качестве вторичной роли. Ср. </w:t>
      </w:r>
      <w:r w:rsidRPr="00101408">
        <w:rPr>
          <w:rFonts w:ascii="Times New Roman" w:eastAsia="Times New Roman" w:hAnsi="Times New Roman" w:cs="Times New Roman"/>
          <w:i/>
        </w:rPr>
        <w:t>Без меня ты не сможешь открыть дверь.</w:t>
      </w:r>
      <w:r w:rsidRPr="00101408">
        <w:rPr>
          <w:rFonts w:ascii="Times New Roman" w:eastAsia="Times New Roman" w:hAnsi="Times New Roman" w:cs="Times New Roman"/>
        </w:rPr>
        <w:t xml:space="preserve"> — невовлечённость </w:t>
      </w:r>
      <w:r w:rsidRPr="00101408">
        <w:rPr>
          <w:rFonts w:ascii="Times New Roman" w:eastAsia="Times New Roman" w:hAnsi="Times New Roman" w:cs="Times New Roman"/>
          <w:u w:val="single"/>
        </w:rPr>
        <w:t>спутника</w:t>
      </w:r>
      <w:r w:rsidRPr="00101408">
        <w:rPr>
          <w:rFonts w:ascii="Times New Roman" w:eastAsia="Times New Roman" w:hAnsi="Times New Roman" w:cs="Times New Roman"/>
        </w:rPr>
        <w:t xml:space="preserve"> является </w:t>
      </w:r>
      <w:r w:rsidRPr="00101408">
        <w:rPr>
          <w:rFonts w:ascii="Times New Roman" w:eastAsia="Times New Roman" w:hAnsi="Times New Roman" w:cs="Times New Roman"/>
          <w:u w:val="single"/>
        </w:rPr>
        <w:t>условием / возможной причиной</w:t>
      </w:r>
      <w:r w:rsidRPr="00101408">
        <w:rPr>
          <w:rFonts w:ascii="Times New Roman" w:eastAsia="Times New Roman" w:hAnsi="Times New Roman" w:cs="Times New Roman"/>
        </w:rPr>
        <w:t xml:space="preserve"> невозможности открытия двери.</w:t>
      </w:r>
      <w:r w:rsidRPr="00101408">
        <w:rPr>
          <w:rFonts w:ascii="Times New Roman" w:eastAsia="Times New Roman" w:hAnsi="Times New Roman" w:cs="Times New Roman"/>
          <w:i/>
        </w:rPr>
        <w:t xml:space="preserve"> Без штопора они не смогли открыть бутылку.</w:t>
      </w:r>
      <w:r w:rsidRPr="00101408">
        <w:rPr>
          <w:rFonts w:ascii="Times New Roman" w:eastAsia="Times New Roman" w:hAnsi="Times New Roman" w:cs="Times New Roman"/>
        </w:rPr>
        <w:t xml:space="preserve"> — невовлечённость (невозможность вовлечения) </w:t>
      </w:r>
      <w:r w:rsidRPr="00101408">
        <w:rPr>
          <w:rFonts w:ascii="Times New Roman" w:eastAsia="Times New Roman" w:hAnsi="Times New Roman" w:cs="Times New Roman"/>
          <w:u w:val="single"/>
        </w:rPr>
        <w:t>инструмента</w:t>
      </w:r>
      <w:r w:rsidRPr="00101408">
        <w:rPr>
          <w:rFonts w:ascii="Times New Roman" w:eastAsia="Times New Roman" w:hAnsi="Times New Roman" w:cs="Times New Roman"/>
        </w:rPr>
        <w:t xml:space="preserve"> стала </w:t>
      </w:r>
      <w:r w:rsidRPr="00101408">
        <w:rPr>
          <w:rFonts w:ascii="Times New Roman" w:eastAsia="Times New Roman" w:hAnsi="Times New Roman" w:cs="Times New Roman"/>
          <w:u w:val="single"/>
        </w:rPr>
        <w:t>причиной</w:t>
      </w:r>
      <w:r w:rsidRPr="00101408">
        <w:rPr>
          <w:rFonts w:ascii="Times New Roman" w:eastAsia="Times New Roman" w:hAnsi="Times New Roman" w:cs="Times New Roman"/>
        </w:rPr>
        <w:t xml:space="preserve"> неосуществления открытия бутылки.</w:t>
      </w:r>
    </w:p>
    <w:p w14:paraId="00000045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950B56" w:rsidRPr="001014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6"/>
    <w:rsid w:val="0005679D"/>
    <w:rsid w:val="00101408"/>
    <w:rsid w:val="004B1D23"/>
    <w:rsid w:val="005E5588"/>
    <w:rsid w:val="007C4979"/>
    <w:rsid w:val="00950B56"/>
    <w:rsid w:val="00A44CC1"/>
    <w:rsid w:val="00E10AA6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810"/>
  <w15:docId w15:val="{7C00F167-3058-42B7-A5C5-F867B4A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</w:style>
  <w:style w:type="paragraph" w:styleId="1">
    <w:name w:val="heading 1"/>
    <w:basedOn w:val="a"/>
    <w:next w:val="a"/>
    <w:link w:val="10"/>
    <w:uiPriority w:val="9"/>
    <w:qFormat/>
    <w:rsid w:val="00D30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95A7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B47E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47E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47E2"/>
    <w:rPr>
      <w:vertAlign w:val="superscript"/>
    </w:rPr>
  </w:style>
  <w:style w:type="character" w:styleId="a8">
    <w:name w:val="annotation reference"/>
    <w:semiHidden/>
    <w:rsid w:val="004A43FD"/>
    <w:rPr>
      <w:sz w:val="16"/>
      <w:szCs w:val="16"/>
    </w:rPr>
  </w:style>
  <w:style w:type="paragraph" w:styleId="a9">
    <w:name w:val="annotation text"/>
    <w:basedOn w:val="a"/>
    <w:link w:val="aa"/>
    <w:semiHidden/>
    <w:rsid w:val="004A43FD"/>
    <w:pPr>
      <w:spacing w:line="230" w:lineRule="exac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A43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oTO1GEOoGxaO2TF37t6dLbW0w==">AMUW2mX438aWXdYBiVctVbTlI+0sQhLD68cDGNipp4cDEh7iiSlkWbnZXTVa6/9YsCbLH3UbB+HkiqpLvytYYF74/G++LE8BLJ2pN5LmJ3gXUNwfvsO90wqCIv7ErUgaA8x6fpw7lOdFKEEArbjXpxY02D6rwG7Absx1SrO/6asHqGwGqKIQ8JKFl27QXQQNpr4/vwYcEcHPzW4dLDWzxLitLxfv0McV1K2rOMhsXBHTiMTXDr/nBSY=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2092</Words>
  <Characters>12283</Characters>
  <Application>Microsoft Office Word</Application>
  <DocSecurity>0</DocSecurity>
  <Lines>372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Fedotov</dc:creator>
  <cp:lastModifiedBy>Maksim Fedotov</cp:lastModifiedBy>
  <cp:revision>8</cp:revision>
  <dcterms:created xsi:type="dcterms:W3CDTF">2019-10-19T12:02:00Z</dcterms:created>
  <dcterms:modified xsi:type="dcterms:W3CDTF">2020-05-11T23:50:00Z</dcterms:modified>
</cp:coreProperties>
</file>